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4C49" w14:textId="77777777" w:rsidR="00E27905" w:rsidRPr="00D61573" w:rsidRDefault="00E27905" w:rsidP="00E2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573">
        <w:rPr>
          <w:rFonts w:ascii="Times New Roman" w:hAnsi="Times New Roman" w:cs="Times New Roman"/>
          <w:b/>
          <w:sz w:val="28"/>
          <w:szCs w:val="28"/>
        </w:rPr>
        <w:t xml:space="preserve">Інформаційно-аналітичні матеріали </w:t>
      </w:r>
    </w:p>
    <w:p w14:paraId="6FE1790C" w14:textId="77777777" w:rsidR="00E27905" w:rsidRPr="00D61573" w:rsidRDefault="00E27905" w:rsidP="00E2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73">
        <w:rPr>
          <w:rFonts w:ascii="Times New Roman" w:hAnsi="Times New Roman" w:cs="Times New Roman"/>
          <w:b/>
          <w:sz w:val="28"/>
          <w:szCs w:val="28"/>
        </w:rPr>
        <w:t xml:space="preserve">до проведення парламентських слухань на тему: </w:t>
      </w:r>
    </w:p>
    <w:p w14:paraId="2D363B6F" w14:textId="485494E9" w:rsidR="00E27905" w:rsidRPr="00D61573" w:rsidRDefault="00E27905" w:rsidP="00E2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73">
        <w:rPr>
          <w:rFonts w:ascii="Times New Roman" w:hAnsi="Times New Roman" w:cs="Times New Roman"/>
          <w:b/>
          <w:sz w:val="28"/>
          <w:szCs w:val="28"/>
        </w:rPr>
        <w:t>«Побудова ефективної системи охорони інтелектуальної власності в Україні»</w:t>
      </w:r>
    </w:p>
    <w:p w14:paraId="60160F44" w14:textId="36881FFF" w:rsidR="00E27905" w:rsidRDefault="00E27905" w:rsidP="00E27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528542" w14:textId="77777777" w:rsidR="00581051" w:rsidRPr="0054628C" w:rsidRDefault="00581051" w:rsidP="00581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 нормативно-правових актів Міністерства освіти і науки</w:t>
      </w:r>
    </w:p>
    <w:p w14:paraId="51CF081C" w14:textId="77777777" w:rsidR="00581051" w:rsidRPr="0054628C" w:rsidRDefault="00581051" w:rsidP="00581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розвитку інновацій, що розроблені останнім часом.</w:t>
      </w:r>
    </w:p>
    <w:p w14:paraId="0E76F52D" w14:textId="77777777" w:rsidR="00581051" w:rsidRDefault="00581051" w:rsidP="0058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876CC" w14:textId="77777777" w:rsidR="00581051" w:rsidRDefault="00581051" w:rsidP="0058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важливості інновацій для економіки країни піднімається з кінця 90-х років минулого століття, однак всі нормативно-правові акти, які приймалися для стимулювати вітчизняної інноваційної діяльності, мали одну спільну рису – безсистемність.</w:t>
      </w:r>
    </w:p>
    <w:p w14:paraId="4DE23378" w14:textId="772706ED" w:rsidR="00581051" w:rsidRDefault="00581051" w:rsidP="0058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з останніх актів, прийнятих Кабінетом Міністрів України в цій сфері, який визначає с</w:t>
      </w:r>
      <w:r w:rsidR="0054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тратегічну мету </w:t>
      </w:r>
      <w:r w:rsidRPr="0060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в Україні </w:t>
      </w:r>
      <w:proofErr w:type="spellStart"/>
      <w:r w:rsidRPr="0060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високорозвинутої</w:t>
      </w:r>
      <w:proofErr w:type="spellEnd"/>
      <w:r w:rsidRPr="0060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 орієнтованої економіки, що базується на знаннях та інноваціях,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Стратегія </w:t>
      </w:r>
      <w:r w:rsidRPr="0060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сфери інноваційної діяльності на період до 2030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0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КМУ від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липня </w:t>
      </w:r>
      <w:r w:rsidRPr="00140E0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р.</w:t>
      </w:r>
      <w:r w:rsidRPr="0014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3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DD67BE" w14:textId="7E74B295" w:rsidR="00581051" w:rsidRPr="001837F0" w:rsidRDefault="005439DE" w:rsidP="0058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Продовжуючи послідо</w:t>
      </w:r>
      <w:r w:rsidR="004F7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вні кроки з використання нової Стратегії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інструменту стимулювання, </w:t>
      </w:r>
      <w:r w:rsidR="00581051"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 освіти і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Міністерством), на виконання пункту  </w:t>
      </w:r>
      <w:r w:rsidR="00581051"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розпорядження Кабінету Міністрів України «Про схвалення Стратегії розвитку сфери інноваційної діяльності на період до 2030 року» розроблено </w:t>
      </w:r>
      <w:proofErr w:type="spellStart"/>
      <w:r w:rsidR="00581051"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581051"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Кабінету Міністрів України «Про затвердження плану заходів щодо реалізації Стратегії розвитку сфери інноваційної діяльності на 2019-2021 роки», що сприятиме застосуванню досудових механізмів вирішення спорів, пов'язаних із захистом прав інтелектуальної власності, а також забезпечення здійснення заходів щодо формування академічної доброчесності.</w:t>
      </w:r>
    </w:p>
    <w:p w14:paraId="3DE1EC78" w14:textId="77777777" w:rsidR="00581051" w:rsidRPr="001837F0" w:rsidRDefault="00581051" w:rsidP="0058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Підвищенню рівня впровадження (комерціалізації) результатів наукових досліджень сприятиме розроблений Міністерством </w:t>
      </w:r>
      <w:proofErr w:type="spellStart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внесення змін до деяких законів України щодо стимулювання діяльності у сфері трансферу технологій». </w:t>
      </w:r>
      <w:proofErr w:type="spellStart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Законопроєктом</w:t>
      </w:r>
      <w:proofErr w:type="spellEnd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передбачено створення механізмів здійснення закордонного патентування за кошти державного бюджету, а також запровадження субсидіювання </w:t>
      </w:r>
      <w:proofErr w:type="spellStart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створення вітчизняними промисловими підприємствами за участю вітчизняних наукових установ або закладів вищої освіти високотехнологічних виробництв.</w:t>
      </w:r>
    </w:p>
    <w:p w14:paraId="1F398898" w14:textId="77777777" w:rsidR="00581051" w:rsidRDefault="00581051" w:rsidP="0058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того, розроблено </w:t>
      </w:r>
      <w:proofErr w:type="spellStart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«Про затвердження мінімальних ставок винагороди авторам технологій та особам, які здійснюють їх трансфер», який </w:t>
      </w:r>
      <w:proofErr w:type="spellStart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18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нові можливості стимулювання діяльності у сфері трансферу технологій шляхом створення умов для підвищення мотивації авторів до впровадження розроблених ними технологій, збільшення обсягів комерціалізації технологій, створених за бюджетні кошти, забезпечення технологічного оновлення і підвищення конкурентоспроможності вітчизняного виробництва.</w:t>
      </w:r>
    </w:p>
    <w:p w14:paraId="2216FDAD" w14:textId="77777777" w:rsidR="00581051" w:rsidRDefault="00581051" w:rsidP="00E2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408D8" w14:textId="77777777" w:rsidR="00581051" w:rsidRDefault="00581051" w:rsidP="00E2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2380C" w14:textId="77337FD8" w:rsidR="00581051" w:rsidRPr="00581051" w:rsidRDefault="00581051" w:rsidP="00E2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51">
        <w:rPr>
          <w:rFonts w:ascii="Times New Roman" w:hAnsi="Times New Roman" w:cs="Times New Roman"/>
          <w:b/>
          <w:sz w:val="28"/>
          <w:szCs w:val="28"/>
        </w:rPr>
        <w:lastRenderedPageBreak/>
        <w:t>Показники України у провідних рейтингах оцінки системи інтелектуальної власності</w:t>
      </w:r>
    </w:p>
    <w:p w14:paraId="32893AFA" w14:textId="6479BC35" w:rsidR="00323399" w:rsidRPr="00BC432A" w:rsidRDefault="00E17899" w:rsidP="00E1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</w:t>
      </w:r>
      <w:r w:rsidR="00574B65">
        <w:rPr>
          <w:rFonts w:ascii="Times New Roman" w:hAnsi="Times New Roman" w:cs="Times New Roman"/>
          <w:sz w:val="28"/>
          <w:szCs w:val="28"/>
        </w:rPr>
        <w:t xml:space="preserve">України у </w:t>
      </w:r>
      <w:r w:rsidR="00BC432A" w:rsidRPr="00BC432A">
        <w:rPr>
          <w:rFonts w:ascii="Times New Roman" w:hAnsi="Times New Roman" w:cs="Times New Roman"/>
          <w:sz w:val="28"/>
          <w:szCs w:val="28"/>
        </w:rPr>
        <w:t>провідних рейтингах оцінки системи інтелектуальної власності</w:t>
      </w:r>
      <w:r w:rsidR="00574B65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BC432A" w:rsidRPr="00BC432A">
        <w:rPr>
          <w:rFonts w:ascii="Times New Roman" w:hAnsi="Times New Roman" w:cs="Times New Roman"/>
          <w:sz w:val="28"/>
          <w:szCs w:val="28"/>
        </w:rPr>
        <w:t xml:space="preserve"> як Індекс Глобального центру інтелектуальної власності (GIPC) та Міжнародний індекс прав власності (IPRI)</w:t>
      </w:r>
      <w:r w:rsidR="00211FC5">
        <w:rPr>
          <w:rFonts w:ascii="Times New Roman" w:hAnsi="Times New Roman" w:cs="Times New Roman"/>
          <w:sz w:val="28"/>
          <w:szCs w:val="28"/>
        </w:rPr>
        <w:t>, відображають сучасний стан я</w:t>
      </w:r>
      <w:r w:rsidR="00BC432A" w:rsidRPr="00BC432A">
        <w:rPr>
          <w:rFonts w:ascii="Times New Roman" w:hAnsi="Times New Roman" w:cs="Times New Roman"/>
          <w:sz w:val="28"/>
          <w:szCs w:val="28"/>
        </w:rPr>
        <w:t>кості системи охорони та захисту авторського права і суміжних прав у країні</w:t>
      </w:r>
      <w:r w:rsidR="00211FC5">
        <w:rPr>
          <w:rFonts w:ascii="Times New Roman" w:hAnsi="Times New Roman" w:cs="Times New Roman"/>
          <w:sz w:val="28"/>
          <w:szCs w:val="28"/>
        </w:rPr>
        <w:t>.</w:t>
      </w:r>
    </w:p>
    <w:p w14:paraId="55A85818" w14:textId="3FE3D03D" w:rsidR="00323399" w:rsidRDefault="00323399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99">
        <w:rPr>
          <w:rFonts w:ascii="Times New Roman" w:hAnsi="Times New Roman" w:cs="Times New Roman"/>
          <w:sz w:val="28"/>
          <w:szCs w:val="28"/>
        </w:rPr>
        <w:t>Міжнародний індекс захисту прав власності – це комбінований показник, який вимірює досягнення країн світу з точки зору захисту прав власності. Випускається з 2007 року Міжнародним Альянсом прав власності (</w:t>
      </w:r>
      <w:proofErr w:type="spellStart"/>
      <w:r w:rsidRPr="0032339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23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99">
        <w:rPr>
          <w:rFonts w:ascii="Times New Roman" w:hAnsi="Times New Roman" w:cs="Times New Roman"/>
          <w:sz w:val="28"/>
          <w:szCs w:val="28"/>
        </w:rPr>
        <w:t>Property</w:t>
      </w:r>
      <w:proofErr w:type="spellEnd"/>
      <w:r w:rsidRPr="00323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99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323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99">
        <w:rPr>
          <w:rFonts w:ascii="Times New Roman" w:hAnsi="Times New Roman" w:cs="Times New Roman"/>
          <w:sz w:val="28"/>
          <w:szCs w:val="28"/>
        </w:rPr>
        <w:t>Alliance</w:t>
      </w:r>
      <w:proofErr w:type="spellEnd"/>
      <w:r w:rsidRPr="00323399">
        <w:rPr>
          <w:rFonts w:ascii="Times New Roman" w:hAnsi="Times New Roman" w:cs="Times New Roman"/>
          <w:sz w:val="28"/>
          <w:szCs w:val="28"/>
        </w:rPr>
        <w:t>). Мета дослідження – вивчення в глобальному масштабі стану та ефективності захисту прав приватної власності – як фізичної, так і інтелектуальної. Індекс вимірює досягнення країни з точки зору стану та ефективності захисту прав власності у трьох категоріях, однією з яких є права на інтелектуальну власність: захист прав інтелектуальної власності, захист патентних прав, рівень «піратства». До</w:t>
      </w:r>
      <w:r w:rsidR="00574B65">
        <w:rPr>
          <w:rFonts w:ascii="Times New Roman" w:hAnsi="Times New Roman" w:cs="Times New Roman"/>
          <w:sz w:val="28"/>
          <w:szCs w:val="28"/>
        </w:rPr>
        <w:t xml:space="preserve">слідження </w:t>
      </w:r>
      <w:r w:rsidR="001837F0">
        <w:rPr>
          <w:rFonts w:ascii="Times New Roman" w:hAnsi="Times New Roman" w:cs="Times New Roman"/>
          <w:sz w:val="28"/>
          <w:szCs w:val="28"/>
        </w:rPr>
        <w:t xml:space="preserve">2019 року </w:t>
      </w:r>
      <w:r w:rsidR="00574B65">
        <w:rPr>
          <w:rFonts w:ascii="Times New Roman" w:hAnsi="Times New Roman" w:cs="Times New Roman"/>
          <w:sz w:val="28"/>
          <w:szCs w:val="28"/>
        </w:rPr>
        <w:t xml:space="preserve">за даним індексом </w:t>
      </w:r>
      <w:r w:rsidR="00E17899">
        <w:rPr>
          <w:rFonts w:ascii="Times New Roman" w:hAnsi="Times New Roman" w:cs="Times New Roman"/>
          <w:sz w:val="28"/>
          <w:szCs w:val="28"/>
        </w:rPr>
        <w:t>охоплює 129</w:t>
      </w:r>
      <w:r w:rsidRPr="00323399">
        <w:rPr>
          <w:rFonts w:ascii="Times New Roman" w:hAnsi="Times New Roman" w:cs="Times New Roman"/>
          <w:sz w:val="28"/>
          <w:szCs w:val="28"/>
        </w:rPr>
        <w:t xml:space="preserve"> країн світу. З</w:t>
      </w:r>
      <w:r w:rsidR="0074552E">
        <w:rPr>
          <w:rFonts w:ascii="Times New Roman" w:hAnsi="Times New Roman" w:cs="Times New Roman"/>
          <w:sz w:val="28"/>
          <w:szCs w:val="28"/>
        </w:rPr>
        <w:t xml:space="preserve">начення показника України у 2019 </w:t>
      </w:r>
      <w:r w:rsidR="00E17899">
        <w:rPr>
          <w:rFonts w:ascii="Times New Roman" w:hAnsi="Times New Roman" w:cs="Times New Roman"/>
          <w:sz w:val="28"/>
          <w:szCs w:val="28"/>
        </w:rPr>
        <w:t>р</w:t>
      </w:r>
      <w:r w:rsidR="0074552E">
        <w:rPr>
          <w:rFonts w:ascii="Times New Roman" w:hAnsi="Times New Roman" w:cs="Times New Roman"/>
          <w:sz w:val="28"/>
          <w:szCs w:val="28"/>
        </w:rPr>
        <w:t>оці</w:t>
      </w:r>
      <w:r w:rsidR="00574B65">
        <w:rPr>
          <w:rFonts w:ascii="Times New Roman" w:hAnsi="Times New Roman" w:cs="Times New Roman"/>
          <w:sz w:val="28"/>
          <w:szCs w:val="28"/>
        </w:rPr>
        <w:t xml:space="preserve"> </w:t>
      </w:r>
      <w:r w:rsidR="00E17899">
        <w:rPr>
          <w:rFonts w:ascii="Times New Roman" w:hAnsi="Times New Roman" w:cs="Times New Roman"/>
          <w:sz w:val="28"/>
          <w:szCs w:val="28"/>
        </w:rPr>
        <w:t>залишилось незмінним</w:t>
      </w:r>
      <w:r w:rsidR="0074552E">
        <w:rPr>
          <w:rFonts w:ascii="Times New Roman" w:hAnsi="Times New Roman" w:cs="Times New Roman"/>
          <w:sz w:val="28"/>
          <w:szCs w:val="28"/>
        </w:rPr>
        <w:t xml:space="preserve"> з 2018 року</w:t>
      </w:r>
      <w:r w:rsidR="00E37AED">
        <w:rPr>
          <w:rFonts w:ascii="Times New Roman" w:hAnsi="Times New Roman" w:cs="Times New Roman"/>
          <w:sz w:val="28"/>
          <w:szCs w:val="28"/>
        </w:rPr>
        <w:t xml:space="preserve"> та відповідає </w:t>
      </w:r>
      <w:r w:rsidR="0074552E">
        <w:rPr>
          <w:rFonts w:ascii="Times New Roman" w:hAnsi="Times New Roman" w:cs="Times New Roman"/>
          <w:sz w:val="28"/>
          <w:szCs w:val="28"/>
        </w:rPr>
        <w:t>23</w:t>
      </w:r>
      <w:r w:rsidR="00E17899">
        <w:rPr>
          <w:rFonts w:ascii="Times New Roman" w:hAnsi="Times New Roman" w:cs="Times New Roman"/>
          <w:sz w:val="28"/>
          <w:szCs w:val="28"/>
        </w:rPr>
        <w:t xml:space="preserve"> </w:t>
      </w:r>
      <w:r w:rsidR="00E37AED">
        <w:rPr>
          <w:rFonts w:ascii="Times New Roman" w:hAnsi="Times New Roman" w:cs="Times New Roman"/>
          <w:sz w:val="28"/>
          <w:szCs w:val="28"/>
        </w:rPr>
        <w:t>позиції</w:t>
      </w:r>
      <w:r w:rsidR="00E37AED" w:rsidRPr="00323399">
        <w:rPr>
          <w:rFonts w:ascii="Times New Roman" w:hAnsi="Times New Roman" w:cs="Times New Roman"/>
          <w:sz w:val="28"/>
          <w:szCs w:val="28"/>
        </w:rPr>
        <w:t xml:space="preserve"> </w:t>
      </w:r>
      <w:r w:rsidRPr="00323399">
        <w:rPr>
          <w:rFonts w:ascii="Times New Roman" w:hAnsi="Times New Roman" w:cs="Times New Roman"/>
          <w:sz w:val="28"/>
          <w:szCs w:val="28"/>
        </w:rPr>
        <w:t>у регіоні Східної Євро</w:t>
      </w:r>
      <w:r w:rsidR="00E17899">
        <w:rPr>
          <w:rFonts w:ascii="Times New Roman" w:hAnsi="Times New Roman" w:cs="Times New Roman"/>
          <w:sz w:val="28"/>
          <w:szCs w:val="28"/>
        </w:rPr>
        <w:t>пи і Центральної Азії, та 109 – у світі, втративши одну позицію у</w:t>
      </w:r>
      <w:r w:rsidR="0074552E">
        <w:rPr>
          <w:rFonts w:ascii="Times New Roman" w:hAnsi="Times New Roman" w:cs="Times New Roman"/>
          <w:sz w:val="28"/>
          <w:szCs w:val="28"/>
        </w:rPr>
        <w:t xml:space="preserve"> рейтингу в</w:t>
      </w:r>
      <w:r w:rsidR="00E17899">
        <w:rPr>
          <w:rFonts w:ascii="Times New Roman" w:hAnsi="Times New Roman" w:cs="Times New Roman"/>
          <w:sz w:val="28"/>
          <w:szCs w:val="28"/>
        </w:rPr>
        <w:t xml:space="preserve"> порівнянні з 2018 роком.</w:t>
      </w:r>
      <w:r w:rsidRPr="00323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8714D" w14:textId="3E048081" w:rsidR="00323399" w:rsidRDefault="00323399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99">
        <w:rPr>
          <w:rFonts w:ascii="Times New Roman" w:hAnsi="Times New Roman" w:cs="Times New Roman"/>
          <w:sz w:val="28"/>
          <w:szCs w:val="28"/>
        </w:rPr>
        <w:t>Підіндекс «право інтелектуальної власності» для України збільшився на 0,1 до 4,42 з показник</w:t>
      </w:r>
      <w:r w:rsidR="00E37AED">
        <w:rPr>
          <w:rFonts w:ascii="Times New Roman" w:hAnsi="Times New Roman" w:cs="Times New Roman"/>
          <w:sz w:val="28"/>
          <w:szCs w:val="28"/>
        </w:rPr>
        <w:t>ів</w:t>
      </w:r>
      <w:r w:rsidRPr="00323399">
        <w:rPr>
          <w:rFonts w:ascii="Times New Roman" w:hAnsi="Times New Roman" w:cs="Times New Roman"/>
          <w:sz w:val="28"/>
          <w:szCs w:val="28"/>
        </w:rPr>
        <w:t xml:space="preserve"> щодо захисту: патентних прав – 7,75</w:t>
      </w:r>
      <w:r w:rsidR="00E37AED">
        <w:rPr>
          <w:rFonts w:ascii="Times New Roman" w:hAnsi="Times New Roman" w:cs="Times New Roman"/>
          <w:sz w:val="28"/>
          <w:szCs w:val="28"/>
        </w:rPr>
        <w:t xml:space="preserve"> та</w:t>
      </w:r>
      <w:r w:rsidR="00E37AED" w:rsidRPr="00323399">
        <w:rPr>
          <w:rFonts w:ascii="Times New Roman" w:hAnsi="Times New Roman" w:cs="Times New Roman"/>
          <w:sz w:val="28"/>
          <w:szCs w:val="28"/>
        </w:rPr>
        <w:t xml:space="preserve"> </w:t>
      </w:r>
      <w:r w:rsidRPr="00323399">
        <w:rPr>
          <w:rFonts w:ascii="Times New Roman" w:hAnsi="Times New Roman" w:cs="Times New Roman"/>
          <w:sz w:val="28"/>
          <w:szCs w:val="28"/>
        </w:rPr>
        <w:t xml:space="preserve">авторських прав – 1,8. За </w:t>
      </w:r>
      <w:proofErr w:type="spellStart"/>
      <w:r w:rsidRPr="00323399">
        <w:rPr>
          <w:rFonts w:ascii="Times New Roman" w:hAnsi="Times New Roman" w:cs="Times New Roman"/>
          <w:sz w:val="28"/>
          <w:szCs w:val="28"/>
        </w:rPr>
        <w:t>підіндексом</w:t>
      </w:r>
      <w:proofErr w:type="spellEnd"/>
      <w:r w:rsidRPr="00323399">
        <w:rPr>
          <w:rFonts w:ascii="Times New Roman" w:hAnsi="Times New Roman" w:cs="Times New Roman"/>
          <w:sz w:val="28"/>
          <w:szCs w:val="28"/>
        </w:rPr>
        <w:t xml:space="preserve"> «право інтелектуальної власності» Україна посіла </w:t>
      </w:r>
      <w:r>
        <w:rPr>
          <w:rFonts w:ascii="Times New Roman" w:hAnsi="Times New Roman" w:cs="Times New Roman"/>
          <w:sz w:val="28"/>
          <w:szCs w:val="28"/>
        </w:rPr>
        <w:t xml:space="preserve">93 місце </w:t>
      </w:r>
      <w:r w:rsidRPr="00323399">
        <w:rPr>
          <w:rFonts w:ascii="Times New Roman" w:hAnsi="Times New Roman" w:cs="Times New Roman"/>
          <w:sz w:val="28"/>
          <w:szCs w:val="28"/>
        </w:rPr>
        <w:t>поруч з Кувейтом та Ефіопією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2F75FC" w14:textId="69C8FBBB" w:rsidR="00F33F84" w:rsidRDefault="00F33F84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E2ED7" w14:textId="77777777" w:rsidR="00581051" w:rsidRDefault="00581051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F2496" w14:textId="1F026DBE" w:rsidR="00A95861" w:rsidRPr="00A95861" w:rsidRDefault="00F33F84" w:rsidP="00A958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5861">
        <w:rPr>
          <w:rFonts w:ascii="Times New Roman" w:hAnsi="Times New Roman" w:cs="Times New Roman"/>
          <w:b/>
          <w:sz w:val="28"/>
          <w:szCs w:val="28"/>
        </w:rPr>
        <w:t xml:space="preserve">Індекс </w:t>
      </w:r>
      <w:r w:rsidRPr="00A95861">
        <w:rPr>
          <w:rFonts w:ascii="Times New Roman" w:hAnsi="Times New Roman" w:cs="Times New Roman"/>
          <w:b/>
          <w:sz w:val="28"/>
          <w:szCs w:val="28"/>
          <w:lang w:val="en-US"/>
        </w:rPr>
        <w:t>IPRI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689"/>
        <w:gridCol w:w="2268"/>
        <w:gridCol w:w="1842"/>
        <w:gridCol w:w="2410"/>
      </w:tblGrid>
      <w:tr w:rsidR="00183B12" w:rsidRPr="00F33F84" w14:paraId="2622C8C6" w14:textId="77777777" w:rsidTr="00183B12">
        <w:trPr>
          <w:jc w:val="center"/>
        </w:trPr>
        <w:tc>
          <w:tcPr>
            <w:tcW w:w="1289" w:type="dxa"/>
          </w:tcPr>
          <w:p w14:paraId="29883AA5" w14:textId="77777777" w:rsidR="00183B12" w:rsidRPr="00F33F84" w:rsidRDefault="00183B12" w:rsidP="00F3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1689" w:type="dxa"/>
          </w:tcPr>
          <w:p w14:paraId="6A3E8DCD" w14:textId="77777777" w:rsidR="00183B12" w:rsidRPr="00F33F84" w:rsidRDefault="00183B12" w:rsidP="00F3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балів</w:t>
            </w:r>
          </w:p>
        </w:tc>
        <w:tc>
          <w:tcPr>
            <w:tcW w:w="2268" w:type="dxa"/>
          </w:tcPr>
          <w:p w14:paraId="7CD2E4B5" w14:textId="77777777" w:rsidR="00183B12" w:rsidRPr="00F33F84" w:rsidRDefault="00183B12" w:rsidP="00F3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країн у рейтингу</w:t>
            </w:r>
          </w:p>
        </w:tc>
        <w:tc>
          <w:tcPr>
            <w:tcW w:w="1842" w:type="dxa"/>
          </w:tcPr>
          <w:p w14:paraId="419D01E5" w14:textId="77777777" w:rsidR="00183B12" w:rsidRPr="00F33F84" w:rsidRDefault="00183B12" w:rsidP="00F3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sz w:val="28"/>
                <w:szCs w:val="28"/>
              </w:rPr>
              <w:t>Місце у рейтингу</w:t>
            </w:r>
          </w:p>
        </w:tc>
        <w:tc>
          <w:tcPr>
            <w:tcW w:w="2410" w:type="dxa"/>
          </w:tcPr>
          <w:p w14:paraId="3F5E77B2" w14:textId="77777777" w:rsidR="00183B12" w:rsidRPr="00F33F84" w:rsidRDefault="00183B12" w:rsidP="00F3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F84">
              <w:rPr>
                <w:rFonts w:ascii="Times New Roman" w:hAnsi="Times New Roman" w:cs="Times New Roman"/>
                <w:b/>
                <w:sz w:val="28"/>
                <w:szCs w:val="28"/>
              </w:rPr>
              <w:t>Регіональне місце у рейтингу</w:t>
            </w:r>
          </w:p>
        </w:tc>
      </w:tr>
      <w:tr w:rsidR="00183B12" w14:paraId="19528CD4" w14:textId="77777777" w:rsidTr="00183B12">
        <w:trPr>
          <w:jc w:val="center"/>
        </w:trPr>
        <w:tc>
          <w:tcPr>
            <w:tcW w:w="1289" w:type="dxa"/>
          </w:tcPr>
          <w:p w14:paraId="1F7D16FE" w14:textId="77777777" w:rsidR="00183B12" w:rsidRDefault="00183B12" w:rsidP="00F33F8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89" w:type="dxa"/>
          </w:tcPr>
          <w:p w14:paraId="1CE7D78E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4.432</w:t>
            </w:r>
          </w:p>
        </w:tc>
        <w:tc>
          <w:tcPr>
            <w:tcW w:w="2268" w:type="dxa"/>
          </w:tcPr>
          <w:p w14:paraId="05452ECB" w14:textId="77777777" w:rsidR="00183B12" w:rsidRDefault="0007439C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</w:tcPr>
          <w:p w14:paraId="4A20CACE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</w:tcPr>
          <w:p w14:paraId="67112F5A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3B12" w14:paraId="0DF92F74" w14:textId="77777777" w:rsidTr="00183B12">
        <w:trPr>
          <w:jc w:val="center"/>
        </w:trPr>
        <w:tc>
          <w:tcPr>
            <w:tcW w:w="1289" w:type="dxa"/>
          </w:tcPr>
          <w:p w14:paraId="0EF16188" w14:textId="77777777" w:rsidR="00183B12" w:rsidRDefault="00183B12" w:rsidP="00F33F8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89" w:type="dxa"/>
          </w:tcPr>
          <w:p w14:paraId="5D3760F1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4.282</w:t>
            </w:r>
          </w:p>
        </w:tc>
        <w:tc>
          <w:tcPr>
            <w:tcW w:w="2268" w:type="dxa"/>
          </w:tcPr>
          <w:p w14:paraId="308EE2C8" w14:textId="77777777" w:rsidR="00183B12" w:rsidRDefault="00A303A3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42" w:type="dxa"/>
          </w:tcPr>
          <w:p w14:paraId="749ED557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</w:tcPr>
          <w:p w14:paraId="0C6B5DC6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3B12" w14:paraId="662FDCB3" w14:textId="77777777" w:rsidTr="00183B12">
        <w:trPr>
          <w:jc w:val="center"/>
        </w:trPr>
        <w:tc>
          <w:tcPr>
            <w:tcW w:w="1289" w:type="dxa"/>
          </w:tcPr>
          <w:p w14:paraId="2B9E234C" w14:textId="77777777" w:rsidR="00183B12" w:rsidRDefault="00183B12" w:rsidP="00F33F8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89" w:type="dxa"/>
          </w:tcPr>
          <w:p w14:paraId="6CBCF040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3.424</w:t>
            </w:r>
          </w:p>
        </w:tc>
        <w:tc>
          <w:tcPr>
            <w:tcW w:w="2268" w:type="dxa"/>
          </w:tcPr>
          <w:p w14:paraId="2759B8B1" w14:textId="77777777" w:rsidR="00183B12" w:rsidRDefault="0007439C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42" w:type="dxa"/>
          </w:tcPr>
          <w:p w14:paraId="380F3871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10" w:type="dxa"/>
          </w:tcPr>
          <w:p w14:paraId="3AF50E3C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3B12" w14:paraId="48F30A42" w14:textId="77777777" w:rsidTr="00183B12">
        <w:trPr>
          <w:jc w:val="center"/>
        </w:trPr>
        <w:tc>
          <w:tcPr>
            <w:tcW w:w="1289" w:type="dxa"/>
          </w:tcPr>
          <w:p w14:paraId="5532B51D" w14:textId="77777777" w:rsidR="00183B12" w:rsidRDefault="00183B12" w:rsidP="00F33F8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89" w:type="dxa"/>
          </w:tcPr>
          <w:p w14:paraId="155AFD91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3.933</w:t>
            </w:r>
          </w:p>
        </w:tc>
        <w:tc>
          <w:tcPr>
            <w:tcW w:w="2268" w:type="dxa"/>
          </w:tcPr>
          <w:p w14:paraId="5EBE69F5" w14:textId="77777777" w:rsidR="00183B12" w:rsidRPr="0007439C" w:rsidRDefault="00D14B0D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842" w:type="dxa"/>
          </w:tcPr>
          <w:p w14:paraId="49F3C461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</w:tcPr>
          <w:p w14:paraId="27C1980E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3B12" w14:paraId="683C860B" w14:textId="77777777" w:rsidTr="00183B12">
        <w:trPr>
          <w:jc w:val="center"/>
        </w:trPr>
        <w:tc>
          <w:tcPr>
            <w:tcW w:w="1289" w:type="dxa"/>
          </w:tcPr>
          <w:p w14:paraId="2EDD5028" w14:textId="77777777" w:rsidR="00183B12" w:rsidRDefault="00183B12" w:rsidP="00F33F8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89" w:type="dxa"/>
          </w:tcPr>
          <w:p w14:paraId="7B58E1A0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3.926</w:t>
            </w:r>
          </w:p>
        </w:tc>
        <w:tc>
          <w:tcPr>
            <w:tcW w:w="2268" w:type="dxa"/>
          </w:tcPr>
          <w:p w14:paraId="1BD4A1D3" w14:textId="77777777" w:rsidR="00183B12" w:rsidRPr="00D14B0D" w:rsidRDefault="00D14B0D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842" w:type="dxa"/>
          </w:tcPr>
          <w:p w14:paraId="4750E84E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10" w:type="dxa"/>
          </w:tcPr>
          <w:p w14:paraId="05ECCB36" w14:textId="77777777" w:rsidR="00183B12" w:rsidRDefault="00183B12" w:rsidP="00F33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74EF535F" w14:textId="77777777" w:rsidR="00F33F84" w:rsidRPr="00A95861" w:rsidRDefault="00F33F84" w:rsidP="00A95861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95861">
        <w:rPr>
          <w:rFonts w:ascii="Times New Roman" w:hAnsi="Times New Roman" w:cs="Times New Roman"/>
        </w:rPr>
        <w:t xml:space="preserve">Джерело: </w:t>
      </w:r>
      <w:proofErr w:type="spellStart"/>
      <w:r w:rsidRPr="00A95861">
        <w:rPr>
          <w:rFonts w:ascii="Times New Roman" w:hAnsi="Times New Roman" w:cs="Times New Roman"/>
        </w:rPr>
        <w:t>International</w:t>
      </w:r>
      <w:proofErr w:type="spellEnd"/>
      <w:r w:rsidRPr="00A95861">
        <w:rPr>
          <w:rFonts w:ascii="Times New Roman" w:hAnsi="Times New Roman" w:cs="Times New Roman"/>
        </w:rPr>
        <w:t xml:space="preserve"> </w:t>
      </w:r>
      <w:proofErr w:type="spellStart"/>
      <w:r w:rsidRPr="00A95861">
        <w:rPr>
          <w:rFonts w:ascii="Times New Roman" w:hAnsi="Times New Roman" w:cs="Times New Roman"/>
        </w:rPr>
        <w:t>Property</w:t>
      </w:r>
      <w:proofErr w:type="spellEnd"/>
      <w:r w:rsidRPr="00A95861">
        <w:rPr>
          <w:rFonts w:ascii="Times New Roman" w:hAnsi="Times New Roman" w:cs="Times New Roman"/>
        </w:rPr>
        <w:t xml:space="preserve"> </w:t>
      </w:r>
      <w:proofErr w:type="spellStart"/>
      <w:r w:rsidRPr="00A95861">
        <w:rPr>
          <w:rFonts w:ascii="Times New Roman" w:hAnsi="Times New Roman" w:cs="Times New Roman"/>
        </w:rPr>
        <w:t>Rights</w:t>
      </w:r>
      <w:proofErr w:type="spellEnd"/>
      <w:r w:rsidRPr="00A95861">
        <w:rPr>
          <w:rFonts w:ascii="Times New Roman" w:hAnsi="Times New Roman" w:cs="Times New Roman"/>
        </w:rPr>
        <w:t xml:space="preserve"> </w:t>
      </w:r>
      <w:proofErr w:type="spellStart"/>
      <w:r w:rsidRPr="00A95861">
        <w:rPr>
          <w:rFonts w:ascii="Times New Roman" w:hAnsi="Times New Roman" w:cs="Times New Roman"/>
        </w:rPr>
        <w:t>Index</w:t>
      </w:r>
      <w:proofErr w:type="spellEnd"/>
      <w:r w:rsidR="00A303A3" w:rsidRPr="00A95861">
        <w:rPr>
          <w:rFonts w:ascii="Times New Roman" w:hAnsi="Times New Roman" w:cs="Times New Roman"/>
        </w:rPr>
        <w:t xml:space="preserve"> </w:t>
      </w:r>
      <w:r w:rsidR="00A303A3" w:rsidRPr="00A95861">
        <w:rPr>
          <w:rFonts w:ascii="Times New Roman" w:eastAsia="Times New Roman" w:hAnsi="Times New Roman" w:cs="Times New Roman"/>
          <w:lang w:eastAsia="ru-RU"/>
        </w:rPr>
        <w:t>[Електронний ресурс</w:t>
      </w:r>
      <w:r w:rsidR="00A303A3" w:rsidRPr="00A95861">
        <w:rPr>
          <w:rFonts w:ascii="Times New Roman" w:eastAsia="Times New Roman" w:hAnsi="Times New Roman" w:cs="Times New Roman"/>
          <w:lang w:val="en-US" w:eastAsia="ru-RU"/>
        </w:rPr>
        <w:t>].</w:t>
      </w:r>
      <w:r w:rsidR="00A303A3" w:rsidRPr="00A95861">
        <w:rPr>
          <w:rFonts w:ascii="Times New Roman" w:eastAsia="Times New Roman" w:hAnsi="Times New Roman" w:cs="Times New Roman"/>
          <w:lang w:eastAsia="ru-RU"/>
        </w:rPr>
        <w:t xml:space="preserve"> – Режим доступу</w:t>
      </w:r>
      <w:r w:rsidRPr="00A95861">
        <w:rPr>
          <w:rFonts w:ascii="Times New Roman" w:hAnsi="Times New Roman" w:cs="Times New Roman"/>
        </w:rPr>
        <w:t xml:space="preserve">: </w:t>
      </w:r>
      <w:hyperlink r:id="rId7" w:history="1">
        <w:r w:rsidR="00D14B0D" w:rsidRPr="00A95861">
          <w:rPr>
            <w:rStyle w:val="a5"/>
            <w:rFonts w:ascii="Times New Roman" w:hAnsi="Times New Roman" w:cs="Times New Roman"/>
          </w:rPr>
          <w:t>https://internationalpropertyrightsindex.org/full-report</w:t>
        </w:r>
      </w:hyperlink>
    </w:p>
    <w:p w14:paraId="1C5E5BA0" w14:textId="771D975A" w:rsidR="00F33F84" w:rsidRDefault="00F33F84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45F77" w14:textId="6BB414F0" w:rsidR="00581051" w:rsidRDefault="00581051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432EB" w14:textId="5D2DD63A" w:rsidR="00581051" w:rsidRDefault="00581051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05D71" w14:textId="46220B2D" w:rsidR="00581051" w:rsidRDefault="00581051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39BAF" w14:textId="7D9B1BF6" w:rsidR="00581051" w:rsidRDefault="00581051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CA5C0" w14:textId="3D9DF1A0" w:rsidR="00581051" w:rsidRDefault="00581051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B4FE1" w14:textId="77777777" w:rsidR="00581051" w:rsidRPr="00F33F84" w:rsidRDefault="00581051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89829" w14:textId="419BCC8E" w:rsidR="00323399" w:rsidRDefault="00323399" w:rsidP="003233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99">
        <w:rPr>
          <w:rFonts w:ascii="Times New Roman" w:hAnsi="Times New Roman" w:cs="Times New Roman"/>
          <w:b/>
          <w:sz w:val="28"/>
          <w:szCs w:val="28"/>
        </w:rPr>
        <w:lastRenderedPageBreak/>
        <w:t>Позиції України за індикаторами отримання прав інтелектуальної власності різних міжнародних індексів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2"/>
        <w:gridCol w:w="2092"/>
        <w:gridCol w:w="2092"/>
        <w:gridCol w:w="2093"/>
      </w:tblGrid>
      <w:tr w:rsidR="00323399" w14:paraId="639548B2" w14:textId="77777777" w:rsidTr="000615D5">
        <w:tc>
          <w:tcPr>
            <w:tcW w:w="3352" w:type="dxa"/>
          </w:tcPr>
          <w:p w14:paraId="12623503" w14:textId="77777777" w:rsidR="00323399" w:rsidRDefault="000615D5" w:rsidP="0032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Індекс/показник</w:t>
            </w:r>
          </w:p>
        </w:tc>
        <w:tc>
          <w:tcPr>
            <w:tcW w:w="2092" w:type="dxa"/>
          </w:tcPr>
          <w:p w14:paraId="5C987EF1" w14:textId="77777777" w:rsidR="00323399" w:rsidRDefault="000615D5" w:rsidP="0032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092" w:type="dxa"/>
          </w:tcPr>
          <w:p w14:paraId="614ACEFF" w14:textId="77777777" w:rsidR="00323399" w:rsidRDefault="000615D5" w:rsidP="0032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093" w:type="dxa"/>
          </w:tcPr>
          <w:p w14:paraId="0DF3F89D" w14:textId="77777777" w:rsidR="00323399" w:rsidRDefault="000615D5" w:rsidP="0032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</w:tr>
      <w:tr w:rsidR="00323399" w14:paraId="5F770330" w14:textId="77777777" w:rsidTr="000615D5">
        <w:tc>
          <w:tcPr>
            <w:tcW w:w="3352" w:type="dxa"/>
          </w:tcPr>
          <w:p w14:paraId="7112AE33" w14:textId="77777777" w:rsidR="00323399" w:rsidRPr="000615D5" w:rsidRDefault="000615D5" w:rsidP="00D61573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Глобальний індекс конкурентоспроможності: Кількість патентів, отриманих за процедурою РСТ (на 1 млн. населення)</w:t>
            </w:r>
          </w:p>
        </w:tc>
        <w:tc>
          <w:tcPr>
            <w:tcW w:w="2092" w:type="dxa"/>
          </w:tcPr>
          <w:p w14:paraId="74B1DD0D" w14:textId="77777777" w:rsidR="00323399" w:rsidRPr="000615D5" w:rsidRDefault="000615D5" w:rsidP="0032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50 (рейтинг 140 країн)</w:t>
            </w:r>
          </w:p>
        </w:tc>
        <w:tc>
          <w:tcPr>
            <w:tcW w:w="2092" w:type="dxa"/>
          </w:tcPr>
          <w:p w14:paraId="667A25BF" w14:textId="77777777" w:rsidR="00323399" w:rsidRPr="000615D5" w:rsidRDefault="000615D5" w:rsidP="0032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49 (рейтинг 138 країн)</w:t>
            </w:r>
          </w:p>
        </w:tc>
        <w:tc>
          <w:tcPr>
            <w:tcW w:w="2093" w:type="dxa"/>
          </w:tcPr>
          <w:p w14:paraId="7706EB1F" w14:textId="77777777" w:rsidR="00323399" w:rsidRPr="000615D5" w:rsidRDefault="000615D5" w:rsidP="0032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52 (рейтинг 137 країн)</w:t>
            </w:r>
          </w:p>
        </w:tc>
      </w:tr>
      <w:tr w:rsidR="00323399" w14:paraId="3130F580" w14:textId="77777777" w:rsidTr="000615D5">
        <w:tc>
          <w:tcPr>
            <w:tcW w:w="3352" w:type="dxa"/>
          </w:tcPr>
          <w:p w14:paraId="73C23D3F" w14:textId="77777777" w:rsidR="00323399" w:rsidRPr="000615D5" w:rsidRDefault="000615D5" w:rsidP="0032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D5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Глобальний інноваційний індекс </w:t>
            </w:r>
            <w:proofErr w:type="spellStart"/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: Патентна активність</w:t>
            </w:r>
          </w:p>
        </w:tc>
        <w:tc>
          <w:tcPr>
            <w:tcW w:w="2092" w:type="dxa"/>
          </w:tcPr>
          <w:p w14:paraId="7DB4A0E7" w14:textId="77777777" w:rsidR="00323399" w:rsidRPr="000615D5" w:rsidRDefault="000615D5" w:rsidP="0032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2092" w:type="dxa"/>
          </w:tcPr>
          <w:p w14:paraId="158DCA69" w14:textId="77777777" w:rsidR="00323399" w:rsidRPr="000615D5" w:rsidRDefault="000615D5" w:rsidP="0032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27 (рейтинг 80 країн)</w:t>
            </w:r>
          </w:p>
        </w:tc>
        <w:tc>
          <w:tcPr>
            <w:tcW w:w="2093" w:type="dxa"/>
          </w:tcPr>
          <w:p w14:paraId="7B9AE7CC" w14:textId="77777777" w:rsidR="000615D5" w:rsidRPr="000615D5" w:rsidRDefault="000615D5" w:rsidP="0006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27 (рейтинг</w:t>
            </w:r>
          </w:p>
          <w:p w14:paraId="00BB6C28" w14:textId="77777777" w:rsidR="00323399" w:rsidRPr="000615D5" w:rsidRDefault="000615D5" w:rsidP="0006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D5">
              <w:rPr>
                <w:rFonts w:ascii="Times New Roman" w:hAnsi="Times New Roman" w:cs="Times New Roman"/>
                <w:sz w:val="28"/>
                <w:szCs w:val="28"/>
              </w:rPr>
              <w:t>80 країн)</w:t>
            </w:r>
          </w:p>
        </w:tc>
      </w:tr>
    </w:tbl>
    <w:p w14:paraId="74916DEB" w14:textId="062EAAEF" w:rsidR="00EF4584" w:rsidRPr="00EF4584" w:rsidRDefault="00EF4584" w:rsidP="00A958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84">
        <w:rPr>
          <w:rFonts w:ascii="Times New Roman" w:hAnsi="Times New Roman" w:cs="Times New Roman"/>
        </w:rPr>
        <w:t xml:space="preserve">Джерела: </w:t>
      </w:r>
      <w:proofErr w:type="spellStart"/>
      <w:r w:rsidRPr="00EF4584">
        <w:rPr>
          <w:rFonts w:ascii="Times New Roman" w:hAnsi="Times New Roman" w:cs="Times New Roman"/>
        </w:rPr>
        <w:t>The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Global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Competitiveness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Report</w:t>
      </w:r>
      <w:proofErr w:type="spellEnd"/>
      <w:r w:rsidRPr="00EF4584">
        <w:rPr>
          <w:rFonts w:ascii="Times New Roman" w:hAnsi="Times New Roman" w:cs="Times New Roman"/>
        </w:rPr>
        <w:t xml:space="preserve"> 2016-2017. URL: http://www3.weforum.org/docs/GCR2016-2017/05FullReport/TheGlobalCompetitivenessReport2016- 2017_FINAL.pdf </w:t>
      </w:r>
      <w:proofErr w:type="spellStart"/>
      <w:r w:rsidRPr="00EF4584">
        <w:rPr>
          <w:rFonts w:ascii="Times New Roman" w:hAnsi="Times New Roman" w:cs="Times New Roman"/>
        </w:rPr>
        <w:t>The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Global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Competitiveness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Report</w:t>
      </w:r>
      <w:proofErr w:type="spellEnd"/>
      <w:r w:rsidRPr="00EF4584">
        <w:rPr>
          <w:rFonts w:ascii="Times New Roman" w:hAnsi="Times New Roman" w:cs="Times New Roman"/>
        </w:rPr>
        <w:t xml:space="preserve"> 2017-2018. [Електронний ресурс]. – Режим доступу: http://www3.weforum.org/docs/GCR2017-2018/05FullReport/TheGlobalCompetitivenessReport2017–2018.pdf </w:t>
      </w:r>
      <w:proofErr w:type="spellStart"/>
      <w:r w:rsidRPr="00EF4584">
        <w:rPr>
          <w:rFonts w:ascii="Times New Roman" w:hAnsi="Times New Roman" w:cs="Times New Roman"/>
        </w:rPr>
        <w:t>Global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Innovation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Index</w:t>
      </w:r>
      <w:proofErr w:type="spellEnd"/>
      <w:r w:rsidRPr="00EF4584">
        <w:rPr>
          <w:rFonts w:ascii="Times New Roman" w:hAnsi="Times New Roman" w:cs="Times New Roman"/>
        </w:rPr>
        <w:t xml:space="preserve">. [Електронний ресурс]. – Режим доступу: https://www.globalinnovationindex.org/analysis-indicator </w:t>
      </w:r>
      <w:proofErr w:type="spellStart"/>
      <w:r w:rsidRPr="00EF4584">
        <w:rPr>
          <w:rFonts w:ascii="Times New Roman" w:hAnsi="Times New Roman" w:cs="Times New Roman"/>
        </w:rPr>
        <w:t>Вloomberg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innovation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index</w:t>
      </w:r>
      <w:proofErr w:type="spellEnd"/>
      <w:r w:rsidRPr="00EF4584">
        <w:rPr>
          <w:rFonts w:ascii="Times New Roman" w:hAnsi="Times New Roman" w:cs="Times New Roman"/>
        </w:rPr>
        <w:t xml:space="preserve">. [Електронний ресурс]. – Режим доступу: </w:t>
      </w:r>
      <w:proofErr w:type="spellStart"/>
      <w:r w:rsidRPr="00EF4584">
        <w:rPr>
          <w:rFonts w:ascii="Times New Roman" w:hAnsi="Times New Roman" w:cs="Times New Roman"/>
        </w:rPr>
        <w:t>European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Innovation</w:t>
      </w:r>
      <w:proofErr w:type="spellEnd"/>
      <w:r w:rsidRPr="00EF4584">
        <w:rPr>
          <w:rFonts w:ascii="Times New Roman" w:hAnsi="Times New Roman" w:cs="Times New Roman"/>
        </w:rPr>
        <w:t xml:space="preserve"> </w:t>
      </w:r>
      <w:proofErr w:type="spellStart"/>
      <w:r w:rsidRPr="00EF4584">
        <w:rPr>
          <w:rFonts w:ascii="Times New Roman" w:hAnsi="Times New Roman" w:cs="Times New Roman"/>
        </w:rPr>
        <w:t>Scoreboard</w:t>
      </w:r>
      <w:proofErr w:type="spellEnd"/>
      <w:r w:rsidRPr="00EF4584">
        <w:rPr>
          <w:rFonts w:ascii="Times New Roman" w:hAnsi="Times New Roman" w:cs="Times New Roman"/>
        </w:rPr>
        <w:t xml:space="preserve"> 2017. [Електронний ресурс]. – Режим доступу: http://ec.europa.eu/DocsRoom/documents/24829</w:t>
      </w:r>
    </w:p>
    <w:p w14:paraId="616E082D" w14:textId="20A69B19" w:rsidR="00EF4584" w:rsidRDefault="00EF4584" w:rsidP="00EF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64F03" w14:textId="4DC29FDE" w:rsidR="00323399" w:rsidRDefault="000615D5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D5">
        <w:rPr>
          <w:rFonts w:ascii="Times New Roman" w:hAnsi="Times New Roman" w:cs="Times New Roman"/>
          <w:sz w:val="28"/>
          <w:szCs w:val="28"/>
        </w:rPr>
        <w:t xml:space="preserve">За патентною активністю Глобального інноваційного індексу </w:t>
      </w:r>
      <w:proofErr w:type="spellStart"/>
      <w:r w:rsidRPr="000615D5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Pr="000615D5">
        <w:rPr>
          <w:rFonts w:ascii="Times New Roman" w:hAnsi="Times New Roman" w:cs="Times New Roman"/>
          <w:sz w:val="28"/>
          <w:szCs w:val="28"/>
        </w:rPr>
        <w:t xml:space="preserve"> Україна посідає досить високу і незмінну порівняно з 2016 р. позицію – 27-ме місце завдяки кількості патентів, виданих на 1 млн витрат на дослідження і розробк</w:t>
      </w:r>
      <w:r>
        <w:rPr>
          <w:rFonts w:ascii="Times New Roman" w:hAnsi="Times New Roman" w:cs="Times New Roman"/>
          <w:sz w:val="28"/>
          <w:szCs w:val="28"/>
        </w:rPr>
        <w:t>и. У той же час, за покажчиком «</w:t>
      </w:r>
      <w:r w:rsidRPr="000615D5">
        <w:rPr>
          <w:rFonts w:ascii="Times New Roman" w:hAnsi="Times New Roman" w:cs="Times New Roman"/>
          <w:sz w:val="28"/>
          <w:szCs w:val="28"/>
        </w:rPr>
        <w:t>Кількість патентів, отриманих за проц</w:t>
      </w:r>
      <w:r>
        <w:rPr>
          <w:rFonts w:ascii="Times New Roman" w:hAnsi="Times New Roman" w:cs="Times New Roman"/>
          <w:sz w:val="28"/>
          <w:szCs w:val="28"/>
        </w:rPr>
        <w:t>едурою РСТ (на 1 млн населення)»</w:t>
      </w:r>
      <w:r w:rsidR="00E37AED">
        <w:rPr>
          <w:rFonts w:ascii="Times New Roman" w:hAnsi="Times New Roman" w:cs="Times New Roman"/>
          <w:sz w:val="28"/>
          <w:szCs w:val="28"/>
        </w:rPr>
        <w:t>,</w:t>
      </w:r>
      <w:r w:rsidRPr="000615D5">
        <w:rPr>
          <w:rFonts w:ascii="Times New Roman" w:hAnsi="Times New Roman" w:cs="Times New Roman"/>
          <w:sz w:val="28"/>
          <w:szCs w:val="28"/>
        </w:rPr>
        <w:t xml:space="preserve"> рейтинг України у доповіді 2017-2018 рр. відповідає 52 місцю і порівняно з попереднім рейтингом зниження становить 3 позиції. Отже, кількість патентів, отриманих за процедурою РСТ, на одну особу населення або 1 млн витрат на дослідження і розробки та на 1 млрд </w:t>
      </w:r>
      <w:proofErr w:type="spellStart"/>
      <w:r w:rsidRPr="000615D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0615D5">
        <w:rPr>
          <w:rFonts w:ascii="Times New Roman" w:hAnsi="Times New Roman" w:cs="Times New Roman"/>
          <w:sz w:val="28"/>
          <w:szCs w:val="28"/>
        </w:rPr>
        <w:t>. США ВВП показує різні результати внаслідок невисокого рівня ВВП та витрат на наукові до</w:t>
      </w:r>
      <w:r>
        <w:rPr>
          <w:rFonts w:ascii="Times New Roman" w:hAnsi="Times New Roman" w:cs="Times New Roman"/>
          <w:sz w:val="28"/>
          <w:szCs w:val="28"/>
        </w:rPr>
        <w:t>слідження в Україні. Індикатор «Створення знань»</w:t>
      </w:r>
      <w:r w:rsidRPr="000615D5">
        <w:rPr>
          <w:rFonts w:ascii="Times New Roman" w:hAnsi="Times New Roman" w:cs="Times New Roman"/>
          <w:sz w:val="28"/>
          <w:szCs w:val="28"/>
        </w:rPr>
        <w:t xml:space="preserve"> не змінив свій рейтинг. Поліпшення фіксувалося за кількістю заявок на патенти у національному офісі за процедурою РСТ на мільярд PPP $ ВВП (на 0,1 заявку на млрд </w:t>
      </w:r>
      <w:proofErr w:type="spellStart"/>
      <w:r w:rsidRPr="000615D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0615D5">
        <w:rPr>
          <w:rFonts w:ascii="Times New Roman" w:hAnsi="Times New Roman" w:cs="Times New Roman"/>
          <w:sz w:val="28"/>
          <w:szCs w:val="28"/>
        </w:rPr>
        <w:t xml:space="preserve">. США ВВП), кількістю міжнародних патентних заявок, поданих резидентами за процедурою PCT на мільярд PPP $ ВВП (на 0,1 заявку на млрд </w:t>
      </w:r>
      <w:proofErr w:type="spellStart"/>
      <w:r w:rsidRPr="000615D5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0615D5">
        <w:rPr>
          <w:rFonts w:ascii="Times New Roman" w:hAnsi="Times New Roman" w:cs="Times New Roman"/>
          <w:sz w:val="28"/>
          <w:szCs w:val="28"/>
        </w:rPr>
        <w:t>. США ВВП). Однак, якщо за першим індикатором місце країни у рейтингу 2017 р. – 18-те, то за другим – 37-ме, що свідчить про складнощі з виходом на міжнародний рівень українських винахідників та р</w:t>
      </w:r>
      <w:r>
        <w:rPr>
          <w:rFonts w:ascii="Times New Roman" w:hAnsi="Times New Roman" w:cs="Times New Roman"/>
          <w:sz w:val="28"/>
          <w:szCs w:val="28"/>
        </w:rPr>
        <w:t>аціоналізаторів. За показником «</w:t>
      </w:r>
      <w:r w:rsidRPr="000615D5">
        <w:rPr>
          <w:rFonts w:ascii="Times New Roman" w:hAnsi="Times New Roman" w:cs="Times New Roman"/>
          <w:sz w:val="28"/>
          <w:szCs w:val="28"/>
        </w:rPr>
        <w:t>Кількість заявок на корисн</w:t>
      </w:r>
      <w:r>
        <w:rPr>
          <w:rFonts w:ascii="Times New Roman" w:hAnsi="Times New Roman" w:cs="Times New Roman"/>
          <w:sz w:val="28"/>
          <w:szCs w:val="28"/>
        </w:rPr>
        <w:t xml:space="preserve">і моделі на 1 млрд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</w:t>
      </w:r>
      <w:proofErr w:type="spellEnd"/>
      <w:r>
        <w:rPr>
          <w:rFonts w:ascii="Times New Roman" w:hAnsi="Times New Roman" w:cs="Times New Roman"/>
          <w:sz w:val="28"/>
          <w:szCs w:val="28"/>
        </w:rPr>
        <w:t>. США ВВП»</w:t>
      </w:r>
      <w:r w:rsidRPr="000615D5">
        <w:rPr>
          <w:rFonts w:ascii="Times New Roman" w:hAnsi="Times New Roman" w:cs="Times New Roman"/>
          <w:sz w:val="28"/>
          <w:szCs w:val="28"/>
        </w:rPr>
        <w:t>, який теж входить до аналізованого індикатору, позиція України не змінилась, однак її місце в рейтингу є найвищим серед усіх розглянутих індикаторів – друге у світі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42021B" w14:textId="77777777" w:rsidR="00A62099" w:rsidRPr="000615D5" w:rsidRDefault="00A62099" w:rsidP="00A6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77B62" w14:textId="77777777" w:rsidR="00272FE6" w:rsidRDefault="00272FE6" w:rsidP="0027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E6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72FE6">
        <w:rPr>
          <w:rFonts w:ascii="Times New Roman" w:hAnsi="Times New Roman" w:cs="Times New Roman"/>
          <w:b/>
          <w:sz w:val="28"/>
          <w:szCs w:val="28"/>
        </w:rPr>
        <w:t>країн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2FE6">
        <w:rPr>
          <w:rFonts w:ascii="Times New Roman" w:hAnsi="Times New Roman" w:cs="Times New Roman"/>
          <w:b/>
          <w:sz w:val="28"/>
          <w:szCs w:val="28"/>
        </w:rPr>
        <w:t xml:space="preserve"> за Глобальним індексом конкурентоспроможності </w:t>
      </w:r>
    </w:p>
    <w:p w14:paraId="57253392" w14:textId="3080B5DA" w:rsidR="00F273F0" w:rsidRDefault="00F273F0" w:rsidP="00A9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0">
        <w:rPr>
          <w:rFonts w:ascii="Times New Roman" w:hAnsi="Times New Roman" w:cs="Times New Roman"/>
          <w:sz w:val="28"/>
          <w:szCs w:val="28"/>
        </w:rPr>
        <w:t>За даними звіту Світового економічного форуму про глобальну конкурентоспроможність «</w:t>
      </w:r>
      <w:r w:rsidRPr="00F273F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273F0">
        <w:rPr>
          <w:rFonts w:ascii="Times New Roman" w:hAnsi="Times New Roman" w:cs="Times New Roman"/>
          <w:sz w:val="28"/>
          <w:szCs w:val="28"/>
        </w:rPr>
        <w:t xml:space="preserve"> </w:t>
      </w:r>
      <w:r w:rsidRPr="00F273F0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F273F0">
        <w:rPr>
          <w:rFonts w:ascii="Times New Roman" w:hAnsi="Times New Roman" w:cs="Times New Roman"/>
          <w:sz w:val="28"/>
          <w:szCs w:val="28"/>
        </w:rPr>
        <w:t xml:space="preserve"> </w:t>
      </w:r>
      <w:r w:rsidRPr="00F273F0">
        <w:rPr>
          <w:rFonts w:ascii="Times New Roman" w:hAnsi="Times New Roman" w:cs="Times New Roman"/>
          <w:sz w:val="28"/>
          <w:szCs w:val="28"/>
          <w:lang w:val="en-US"/>
        </w:rPr>
        <w:t>Competitiveness</w:t>
      </w:r>
      <w:r w:rsidRPr="00F273F0">
        <w:rPr>
          <w:rFonts w:ascii="Times New Roman" w:hAnsi="Times New Roman" w:cs="Times New Roman"/>
          <w:sz w:val="28"/>
          <w:szCs w:val="28"/>
        </w:rPr>
        <w:t xml:space="preserve"> </w:t>
      </w:r>
      <w:r w:rsidRPr="00F273F0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F273F0">
        <w:rPr>
          <w:rFonts w:ascii="Times New Roman" w:hAnsi="Times New Roman" w:cs="Times New Roman"/>
          <w:sz w:val="28"/>
          <w:szCs w:val="28"/>
        </w:rPr>
        <w:t xml:space="preserve"> 2019» Україна посіла 85 позицію в рейтингу серед 141</w:t>
      </w:r>
      <w:r w:rsidR="00A95861">
        <w:rPr>
          <w:rFonts w:ascii="Times New Roman" w:hAnsi="Times New Roman" w:cs="Times New Roman"/>
          <w:sz w:val="28"/>
          <w:szCs w:val="28"/>
        </w:rPr>
        <w:t xml:space="preserve"> </w:t>
      </w:r>
      <w:r w:rsidR="000615D5">
        <w:rPr>
          <w:rFonts w:ascii="Times New Roman" w:hAnsi="Times New Roman" w:cs="Times New Roman"/>
          <w:sz w:val="28"/>
          <w:szCs w:val="28"/>
        </w:rPr>
        <w:t>досліджуван</w:t>
      </w:r>
      <w:r w:rsidR="0043007F">
        <w:rPr>
          <w:rFonts w:ascii="Times New Roman" w:hAnsi="Times New Roman" w:cs="Times New Roman"/>
          <w:sz w:val="28"/>
          <w:szCs w:val="28"/>
        </w:rPr>
        <w:t>ої</w:t>
      </w:r>
      <w:r w:rsidR="000615D5">
        <w:rPr>
          <w:rFonts w:ascii="Times New Roman" w:hAnsi="Times New Roman" w:cs="Times New Roman"/>
          <w:sz w:val="28"/>
          <w:szCs w:val="28"/>
        </w:rPr>
        <w:t xml:space="preserve"> країн</w:t>
      </w:r>
      <w:r w:rsidR="0043007F">
        <w:rPr>
          <w:rFonts w:ascii="Times New Roman" w:hAnsi="Times New Roman" w:cs="Times New Roman"/>
          <w:sz w:val="28"/>
          <w:szCs w:val="28"/>
        </w:rPr>
        <w:t>и</w:t>
      </w:r>
      <w:r w:rsidRPr="00F273F0">
        <w:rPr>
          <w:rFonts w:ascii="Times New Roman" w:hAnsi="Times New Roman" w:cs="Times New Roman"/>
          <w:sz w:val="28"/>
          <w:szCs w:val="28"/>
        </w:rPr>
        <w:t xml:space="preserve">. Порівняно з </w:t>
      </w:r>
      <w:r w:rsidRPr="00F273F0">
        <w:rPr>
          <w:rFonts w:ascii="Times New Roman" w:hAnsi="Times New Roman" w:cs="Times New Roman"/>
          <w:sz w:val="28"/>
          <w:szCs w:val="28"/>
        </w:rPr>
        <w:lastRenderedPageBreak/>
        <w:t>даними попереднього звіту Україна втратила 2 позиції.</w:t>
      </w:r>
      <w:r w:rsidRPr="00F273F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 України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підіндексом</w:t>
      </w:r>
      <w:proofErr w:type="spellEnd"/>
      <w:r w:rsidRPr="00F27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273F0">
        <w:rPr>
          <w:rFonts w:ascii="Times New Roman" w:hAnsi="Times New Roman" w:cs="Times New Roman"/>
          <w:sz w:val="28"/>
          <w:szCs w:val="28"/>
        </w:rPr>
        <w:t>Захист прав інтелектуальної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» у доповіді 2019 року відповідає </w:t>
      </w:r>
      <w:r w:rsidRPr="00F273F0">
        <w:rPr>
          <w:rFonts w:ascii="Times New Roman" w:hAnsi="Times New Roman" w:cs="Times New Roman"/>
          <w:sz w:val="28"/>
          <w:szCs w:val="28"/>
        </w:rPr>
        <w:t>118</w:t>
      </w:r>
      <w:r w:rsidR="00BC432A">
        <w:rPr>
          <w:rFonts w:ascii="Times New Roman" w:hAnsi="Times New Roman" w:cs="Times New Roman"/>
          <w:sz w:val="28"/>
          <w:szCs w:val="28"/>
        </w:rPr>
        <w:t xml:space="preserve"> місцю, що на чотири позиції нижче ніж у 2018</w:t>
      </w:r>
      <w:r>
        <w:rPr>
          <w:rFonts w:ascii="Times New Roman" w:hAnsi="Times New Roman" w:cs="Times New Roman"/>
          <w:sz w:val="28"/>
          <w:szCs w:val="28"/>
        </w:rPr>
        <w:t xml:space="preserve">, 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підіндексом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«Права власності» – 128 місце</w:t>
      </w:r>
      <w:r w:rsidR="00BC432A">
        <w:rPr>
          <w:rFonts w:ascii="Times New Roman" w:hAnsi="Times New Roman" w:cs="Times New Roman"/>
          <w:sz w:val="28"/>
          <w:szCs w:val="28"/>
        </w:rPr>
        <w:t>, що на одну позицію вище, ніж у 2018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9923F" w14:textId="77777777" w:rsidR="00A82623" w:rsidRDefault="00A82623" w:rsidP="00581051">
      <w:pPr>
        <w:spacing w:after="0" w:line="240" w:lineRule="auto"/>
        <w:ind w:right="-7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A25364" w14:textId="7F7C417B" w:rsidR="007C7DF9" w:rsidRDefault="00272FE6" w:rsidP="00581051">
      <w:pPr>
        <w:spacing w:after="0" w:line="240" w:lineRule="auto"/>
        <w:ind w:right="-7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Складові </w:t>
      </w:r>
      <w:proofErr w:type="spellStart"/>
      <w:r w:rsidRPr="00BC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підіндексів</w:t>
      </w:r>
      <w:proofErr w:type="spellEnd"/>
      <w:r w:rsidRPr="00BC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«Інноваційна спроможність», </w:t>
      </w:r>
    </w:p>
    <w:p w14:paraId="18C240A1" w14:textId="54CD3CF8" w:rsidR="00272FE6" w:rsidRPr="00272FE6" w:rsidRDefault="00272FE6" w:rsidP="00581051">
      <w:pPr>
        <w:spacing w:after="0" w:line="360" w:lineRule="auto"/>
        <w:ind w:right="-7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«Впровадження ІКТ»</w:t>
      </w:r>
      <w:r w:rsidRPr="0027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України у 2018-2019 рр.</w:t>
      </w:r>
    </w:p>
    <w:tbl>
      <w:tblPr>
        <w:tblStyle w:val="11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1707"/>
        <w:gridCol w:w="1554"/>
      </w:tblGrid>
      <w:tr w:rsidR="00272FE6" w:rsidRPr="00A303A3" w14:paraId="0C1B34B4" w14:textId="77777777" w:rsidTr="00E27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shd w:val="clear" w:color="auto" w:fill="auto"/>
          </w:tcPr>
          <w:p w14:paraId="6F362AF7" w14:textId="77777777" w:rsidR="00272FE6" w:rsidRPr="00A303A3" w:rsidRDefault="00272FE6" w:rsidP="00272FE6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Інноваційна спроможність</w:t>
            </w:r>
          </w:p>
        </w:tc>
      </w:tr>
      <w:tr w:rsidR="00272FE6" w:rsidRPr="00A303A3" w14:paraId="003BABF9" w14:textId="77777777" w:rsidTr="00A303A3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AC19152" w14:textId="77777777" w:rsidR="00272FE6" w:rsidRPr="00A303A3" w:rsidRDefault="00272FE6" w:rsidP="00272FE6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1707" w:type="dxa"/>
          </w:tcPr>
          <w:p w14:paraId="3EF0A58B" w14:textId="77777777" w:rsidR="00272FE6" w:rsidRPr="00A303A3" w:rsidRDefault="00272FE6" w:rsidP="00272FE6">
            <w:pPr>
              <w:ind w:right="-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Ранг </w:t>
            </w:r>
          </w:p>
          <w:p w14:paraId="310BAC86" w14:textId="77777777" w:rsidR="00272FE6" w:rsidRPr="00A303A3" w:rsidRDefault="00272FE6" w:rsidP="00272FE6">
            <w:pPr>
              <w:ind w:right="-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2018 р.</w:t>
            </w:r>
          </w:p>
        </w:tc>
        <w:tc>
          <w:tcPr>
            <w:tcW w:w="1554" w:type="dxa"/>
          </w:tcPr>
          <w:p w14:paraId="27E66128" w14:textId="77777777" w:rsidR="00272FE6" w:rsidRPr="00A303A3" w:rsidRDefault="00272FE6" w:rsidP="00272FE6">
            <w:pPr>
              <w:ind w:right="-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Ранг </w:t>
            </w:r>
          </w:p>
          <w:p w14:paraId="4C29F227" w14:textId="77777777" w:rsidR="00272FE6" w:rsidRPr="00A303A3" w:rsidRDefault="00272FE6" w:rsidP="00272FE6">
            <w:pPr>
              <w:ind w:right="-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2019 р.</w:t>
            </w:r>
          </w:p>
        </w:tc>
      </w:tr>
      <w:tr w:rsidR="00272FE6" w:rsidRPr="00A303A3" w14:paraId="03FE3717" w14:textId="77777777" w:rsidTr="00A303A3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C410EDB" w14:textId="77777777" w:rsidR="00272FE6" w:rsidRPr="00A303A3" w:rsidRDefault="00272FE6" w:rsidP="00272FE6">
            <w:pPr>
              <w:ind w:right="-81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  <w:t>Міжнародні спільні винаходи (заявки/млн населення)</w:t>
            </w:r>
          </w:p>
        </w:tc>
        <w:tc>
          <w:tcPr>
            <w:tcW w:w="1707" w:type="dxa"/>
          </w:tcPr>
          <w:p w14:paraId="36E39F28" w14:textId="77777777" w:rsidR="00272FE6" w:rsidRPr="00A303A3" w:rsidRDefault="00272FE6" w:rsidP="00272FE6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554" w:type="dxa"/>
          </w:tcPr>
          <w:p w14:paraId="555DA134" w14:textId="77777777" w:rsidR="00272FE6" w:rsidRPr="00A303A3" w:rsidRDefault="00272FE6" w:rsidP="00272FE6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272FE6" w:rsidRPr="00A303A3" w14:paraId="204FD988" w14:textId="77777777" w:rsidTr="00A303A3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A940FBF" w14:textId="77777777" w:rsidR="00272FE6" w:rsidRPr="00A303A3" w:rsidRDefault="00272FE6" w:rsidP="00272FE6">
            <w:pPr>
              <w:ind w:right="-81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  <w:t>Патентні заявки (заявки / млн населення)</w:t>
            </w:r>
          </w:p>
        </w:tc>
        <w:tc>
          <w:tcPr>
            <w:tcW w:w="1707" w:type="dxa"/>
          </w:tcPr>
          <w:p w14:paraId="2D2CFA8A" w14:textId="77777777" w:rsidR="00272FE6" w:rsidRPr="00A303A3" w:rsidRDefault="00272FE6" w:rsidP="00272FE6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1554" w:type="dxa"/>
          </w:tcPr>
          <w:p w14:paraId="3194460B" w14:textId="77777777" w:rsidR="00272FE6" w:rsidRPr="00A303A3" w:rsidRDefault="00272FE6" w:rsidP="00272FE6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</w:tr>
      <w:tr w:rsidR="00272FE6" w:rsidRPr="00A303A3" w14:paraId="5BC29769" w14:textId="77777777" w:rsidTr="00A303A3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258FF76" w14:textId="77777777" w:rsidR="00272FE6" w:rsidRPr="00A303A3" w:rsidRDefault="00272FE6" w:rsidP="00272FE6">
            <w:pPr>
              <w:ind w:right="-81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  <w:t>Витрати на дослідження і розробки (% ВВП)</w:t>
            </w:r>
          </w:p>
        </w:tc>
        <w:tc>
          <w:tcPr>
            <w:tcW w:w="1707" w:type="dxa"/>
          </w:tcPr>
          <w:p w14:paraId="1B4D2F88" w14:textId="77777777" w:rsidR="00272FE6" w:rsidRPr="00A303A3" w:rsidRDefault="00272FE6" w:rsidP="00272FE6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554" w:type="dxa"/>
          </w:tcPr>
          <w:p w14:paraId="7B2529D4" w14:textId="77777777" w:rsidR="00272FE6" w:rsidRPr="00A303A3" w:rsidRDefault="00272FE6" w:rsidP="00272FE6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</w:tr>
      <w:tr w:rsidR="00272FE6" w:rsidRPr="00A303A3" w14:paraId="000AA4CE" w14:textId="77777777" w:rsidTr="00A303A3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337787A" w14:textId="77777777" w:rsidR="00272FE6" w:rsidRPr="00A303A3" w:rsidRDefault="00272FE6" w:rsidP="00272FE6">
            <w:pPr>
              <w:ind w:right="-81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val="uk-UA" w:eastAsia="ru-RU"/>
              </w:rPr>
              <w:t>Заявки на торгові марки (заявки/ млн населення)</w:t>
            </w:r>
          </w:p>
        </w:tc>
        <w:tc>
          <w:tcPr>
            <w:tcW w:w="1707" w:type="dxa"/>
          </w:tcPr>
          <w:p w14:paraId="1215B84A" w14:textId="77777777" w:rsidR="00272FE6" w:rsidRPr="00A303A3" w:rsidRDefault="00272FE6" w:rsidP="00272FE6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554" w:type="dxa"/>
          </w:tcPr>
          <w:p w14:paraId="664BABCC" w14:textId="77777777" w:rsidR="00272FE6" w:rsidRPr="00A303A3" w:rsidRDefault="00272FE6" w:rsidP="00272FE6">
            <w:pPr>
              <w:ind w:right="-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</w:tr>
    </w:tbl>
    <w:p w14:paraId="33611155" w14:textId="77777777" w:rsidR="00272FE6" w:rsidRPr="00272FE6" w:rsidRDefault="00272FE6" w:rsidP="00581051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0563C1"/>
          <w:sz w:val="16"/>
          <w:szCs w:val="16"/>
          <w:u w:val="single"/>
          <w:lang w:val="ru-RU"/>
        </w:rPr>
      </w:pP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Джерело: </w:t>
      </w:r>
      <w:r w:rsidRPr="00272FE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2FE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Global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2FE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Competitiveness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2FE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Report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2018. [Електронний ресурс</w:t>
      </w:r>
      <w:r w:rsidRPr="00272FE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].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Режим доступу: </w:t>
      </w:r>
      <w:hyperlink r:id="rId8" w:history="1"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ru-RU"/>
          </w:rPr>
          <w:t>http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://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ru-RU"/>
          </w:rPr>
          <w:t>www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3.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ru-RU"/>
          </w:rPr>
          <w:t>weforum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.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ru-RU"/>
          </w:rPr>
          <w:t>org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/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ru-RU"/>
          </w:rPr>
          <w:t>docs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/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ru-RU"/>
          </w:rPr>
          <w:t>GCR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2018/05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ru-RU"/>
          </w:rPr>
          <w:t>FullReport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/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ru-RU"/>
          </w:rPr>
          <w:t>TheGlobalCompetitivenessReport</w:t>
        </w:r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2018.</w:t>
        </w:r>
        <w:proofErr w:type="spellStart"/>
        <w:r w:rsidRPr="00272FE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ru-RU"/>
          </w:rPr>
          <w:t>pdf</w:t>
        </w:r>
        <w:proofErr w:type="spellEnd"/>
      </w:hyperlink>
    </w:p>
    <w:p w14:paraId="2DE2C0F3" w14:textId="77777777" w:rsidR="00272FE6" w:rsidRPr="00272FE6" w:rsidRDefault="00272FE6" w:rsidP="00272F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FE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2FE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Global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2FE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Competitiveness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2FE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Report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2019. [Електронний ресурс</w:t>
      </w:r>
      <w:r w:rsidRPr="00272FE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].</w:t>
      </w:r>
      <w:r w:rsidRPr="0027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Режим доступу:</w:t>
      </w:r>
    </w:p>
    <w:p w14:paraId="6F10EDEF" w14:textId="77777777" w:rsidR="00272FE6" w:rsidRPr="00272FE6" w:rsidRDefault="001E7B45" w:rsidP="0027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ru-RU"/>
        </w:rPr>
      </w:pPr>
      <w:hyperlink r:id="rId9" w:history="1">
        <w:r w:rsidR="00272FE6" w:rsidRPr="00272FE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ru-RU"/>
          </w:rPr>
          <w:t>http://www3.weforum.org/docs/WEF_TheGlobalCompetitivenessReport2019.pdf</w:t>
        </w:r>
      </w:hyperlink>
    </w:p>
    <w:p w14:paraId="7784EAD9" w14:textId="77777777" w:rsidR="00272FE6" w:rsidRDefault="00272FE6" w:rsidP="0027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27EF1" w14:textId="77777777" w:rsidR="009130C4" w:rsidRDefault="009130C4" w:rsidP="0027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A3338" w14:textId="5A9F0C6D" w:rsidR="00581051" w:rsidRPr="00581051" w:rsidRDefault="00581051" w:rsidP="0058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Основною метою української економіки є пошук нової якості розвитку, що забезпечує підвищення ефективності й конкурентоспроможності матеріального й інтелектуального виробництва, високі та стійкі темпи зростання. Досягнення цієї мети вимагає кардинальних змін у соціально-економічному розвиткові на основі Стратегії розвитку сфери інноваційної діяльності на період до 2030 року, схвалену Урядом (розпорядження КМУ від 10.07.2019 № 526-р). Інноваційна діяльність має активізуватися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сьому «технологічному коридору</w:t>
      </w:r>
      <w:r w:rsidRPr="0058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 наукової ідеї до ринкової реалізації відповідно до «замовлення» промисловості та конкретних вимог до </w:t>
      </w:r>
      <w:proofErr w:type="spellStart"/>
      <w:r w:rsidRPr="00581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технікоекономічних</w:t>
      </w:r>
      <w:proofErr w:type="spellEnd"/>
      <w:r w:rsidRPr="0058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нових технологій, матеріалів, систем машин і устаткування. Перехід економіки України на інноваційний шлях розвитку вимагає також цілеспрямованих державних зусиль щодо залучення в господарський обіг результатів науково-технічної діяльності.</w:t>
      </w:r>
    </w:p>
    <w:p w14:paraId="3B376B9F" w14:textId="4C15C448" w:rsidR="009130C4" w:rsidRPr="009130C4" w:rsidRDefault="009130C4" w:rsidP="0091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Зазначимо, що організація та стимулювання інноваційної діяльності в країнах лідерах має такі риси: інтеграція й розвиток НДДКР, проектування і навчання, проведення спільних досліджень, державна під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тримка нових технологій. Уряди </w:t>
      </w: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передових країн переконалися, що знання, інтелектуальний ресурс держави стають вирішальним фактором інноваційного розвитку. </w:t>
      </w:r>
    </w:p>
    <w:p w14:paraId="58287AC4" w14:textId="1FBC3890" w:rsidR="009130C4" w:rsidRPr="009130C4" w:rsidRDefault="009130C4" w:rsidP="0091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</w:t>
      </w:r>
      <w:r w:rsidR="00581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залишається розробка дієвих заходів, підходів та інструментів</w:t>
      </w:r>
      <w:r w:rsidR="00581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спрямованих на підвищення ефективності імплементації національної законодавчої бази у сфері комерціалізації ОІВ та трансферу технологій в площину практичної діяльності вітчизня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наукових установ та закладів вищої освіти</w:t>
      </w: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посиленню їх конкурентоспроможності й інтеграції вітчизняної науки у реальний сектор економіки та світовий науковий простір.</w:t>
      </w:r>
    </w:p>
    <w:p w14:paraId="23FAA066" w14:textId="77777777" w:rsidR="009130C4" w:rsidRPr="009130C4" w:rsidRDefault="009130C4" w:rsidP="0091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Виходячи з цього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постає завд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 основних проблемних питань,</w:t>
      </w: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стосуються створення, комерціалізації об’єктів права інтелектуальної власності, охорони, захисту прав інтелектуальної власності:</w:t>
      </w:r>
    </w:p>
    <w:p w14:paraId="46CBBA59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обмеженість фінансових та матеріальних ресурсів для створення інноваційної інфраструктури;</w:t>
      </w:r>
    </w:p>
    <w:p w14:paraId="10B8D49B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нестача фахівців у сфері менеджменту інноваційної діяльності, управління інтелектуальною власністю, маркетингу, правової охорони, фінансових консультантів, експертів з трансферу технологій і бізнес-планування; </w:t>
      </w:r>
    </w:p>
    <w:p w14:paraId="1DC103D8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недостатня обізнаність науковців і працівників підрозділів, які відповідають за комерціалізацію у ЗВО та наукових установах, щодо оцінки рівня готовності науково-технічної (експериментальної) розробки, подальшого ринкового ефекту від переданих (комерціалізованих) технологій, розроблення стратегії комерційного розвитку, сценаріїв трансферу технологій, які перебувають на різних стадіях готовності;</w:t>
      </w:r>
    </w:p>
    <w:p w14:paraId="10BD3E87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інформації щодо інформаційних партнерів;</w:t>
      </w:r>
    </w:p>
    <w:p w14:paraId="47147857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закріпленого у законодавстві механізму передачі технологій, створених або придбаних за бюджетні кошти, за кордон; </w:t>
      </w:r>
    </w:p>
    <w:p w14:paraId="77597D64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 зацікавленість ЗВО у провадженні інноваційної діяльності;</w:t>
      </w:r>
    </w:p>
    <w:p w14:paraId="3F2C52B9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обмеження на внески у вигляді нематеріальних активів для ЗВО та наукових установ під час формування статутного капіталу при створенні юридичних осіб для впровадження науково-технічних результатів; </w:t>
      </w:r>
    </w:p>
    <w:p w14:paraId="226E648A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 проведення оцінки вартості об’єктів права інтелектуальної власності та нестача фахівців для її здійснення.</w:t>
      </w:r>
    </w:p>
    <w:p w14:paraId="0013DA1A" w14:textId="12D2BAD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обтяжливе регулювання, зокрема ускладнений доступ до ринку праці іноземців та надмірно ускладнений процес ліквідації підприємства</w:t>
      </w:r>
      <w:r w:rsidR="00581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високі податки (насамперед, на оплату праці та прибуток підприємств); </w:t>
      </w:r>
    </w:p>
    <w:p w14:paraId="14A2D45D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необхідних знань і навичок для ведення підприємницької діяльності;</w:t>
      </w:r>
    </w:p>
    <w:p w14:paraId="45B9C11D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 для новоствореного підприємства витрати на оренду приміщень та обладнання, оплату сторонніх послуг (насамперед, бухгалтерських);</w:t>
      </w:r>
    </w:p>
    <w:p w14:paraId="0232480E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недостатній розвиток венчурного фінансування в Україні та проблеми правового захисту власності іноземних інвесторів;</w:t>
      </w:r>
    </w:p>
    <w:p w14:paraId="5E02EC2B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або обмежена ефективність інноваційної інфраструктури, яка має сприяти розвитку інноваційного підприємництва.</w:t>
      </w:r>
    </w:p>
    <w:p w14:paraId="312B1879" w14:textId="77777777" w:rsidR="009130C4" w:rsidRPr="009130C4" w:rsidRDefault="009130C4" w:rsidP="0091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6A52F" w14:textId="77777777" w:rsidR="009130C4" w:rsidRDefault="009130C4" w:rsidP="0091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розв’язання правових проблем, пов’язаних із захистом та використанням об’єктів інтелектуальної власності, створених з використанням коштів державного бюджету, необхідно:</w:t>
      </w:r>
    </w:p>
    <w:p w14:paraId="600BE400" w14:textId="77777777" w:rsidR="00D913B3" w:rsidRPr="009130C4" w:rsidRDefault="00D913B3" w:rsidP="0091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6AB5E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законодавчому рівні чітко визначити всі елементи інноваційної інфраструктури та впорядкувати процес створення, реєстрації та подальшого трансферу об’єктів права інтелектуальної власності з дотриманням балансу інтересів авторів, держави та комерційних структур, включно з елементами інноваційної інфраструктури;</w:t>
      </w:r>
    </w:p>
    <w:p w14:paraId="2359070C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опрацювати питання запровадження англійської та/або американської юрисдикції в Україні для вирішення у судах корпоративних питань для </w:t>
      </w:r>
      <w:proofErr w:type="spellStart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стартапів</w:t>
      </w:r>
      <w:proofErr w:type="spellEnd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венчурних інвесторів (позитивні приклади існування таких юрисдикцій є в ОАЕ та Казахстані);</w:t>
      </w:r>
    </w:p>
    <w:p w14:paraId="29701F4B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діяльність Вищого суду з питань інтелектуальної власності;</w:t>
      </w:r>
    </w:p>
    <w:p w14:paraId="4D6D421C" w14:textId="77777777" w:rsidR="009130C4" w:rsidRPr="009130C4" w:rsidRDefault="009130C4" w:rsidP="00D91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запровадити державну підтримку патентування інтелектуальної власності українських </w:t>
      </w:r>
      <w:proofErr w:type="spellStart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інноваторів</w:t>
      </w:r>
      <w:proofErr w:type="spellEnd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кордоном на умовах </w:t>
      </w:r>
      <w:proofErr w:type="spellStart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8DF90C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запровадити державну підтримку патентування інтелектуальної власності українських </w:t>
      </w:r>
      <w:proofErr w:type="spellStart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інноваторів</w:t>
      </w:r>
      <w:proofErr w:type="spellEnd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кордоном на умовах </w:t>
      </w:r>
      <w:proofErr w:type="spellStart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982923" w14:textId="77777777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підвищити рівень обізнаності </w:t>
      </w:r>
      <w:proofErr w:type="spellStart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інноваторів</w:t>
      </w:r>
      <w:proofErr w:type="spellEnd"/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сфері правової охорони та захисту прав інтелектуальної власності;</w:t>
      </w:r>
    </w:p>
    <w:p w14:paraId="6A8F5E73" w14:textId="133B43BF" w:rsidR="009130C4" w:rsidRPr="009130C4" w:rsidRDefault="009130C4" w:rsidP="00913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C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унормувати процедури погодження укладення договорів про трансфер технологій, створених або придбаних за бюджетній кошти, які передаються юридичним особам, що зареєстровані в інших державах, фізичним особам-іноземцям, або особам без громадянства;</w:t>
      </w:r>
    </w:p>
    <w:p w14:paraId="630A5ACD" w14:textId="7A8A4CA7" w:rsidR="00A556DC" w:rsidRPr="00DC35A5" w:rsidRDefault="009130C4" w:rsidP="00EC42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унормувати використання державними установами надходжень від передачі/використання об’єктів інтелектуальної власності, створених за рахунок коштів державного бюджету, зокрема виплат роялті при серійному виробництві озброєння та військової техніки, та надати гарантії захисту прав автора науково-технічної (експериментальної) розробки до отримання ним патенту.</w:t>
      </w:r>
    </w:p>
    <w:sectPr w:rsidR="00A556DC" w:rsidRPr="00DC35A5" w:rsidSect="007C7DF9">
      <w:headerReference w:type="default" r:id="rId10"/>
      <w:pgSz w:w="11906" w:h="16838"/>
      <w:pgMar w:top="1135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7D06" w14:textId="77777777" w:rsidR="001E7B45" w:rsidRDefault="001E7B45" w:rsidP="00F273F0">
      <w:pPr>
        <w:spacing w:after="0" w:line="240" w:lineRule="auto"/>
      </w:pPr>
      <w:r>
        <w:separator/>
      </w:r>
    </w:p>
  </w:endnote>
  <w:endnote w:type="continuationSeparator" w:id="0">
    <w:p w14:paraId="2FECB4DE" w14:textId="77777777" w:rsidR="001E7B45" w:rsidRDefault="001E7B45" w:rsidP="00F2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D1AF6" w14:textId="77777777" w:rsidR="001E7B45" w:rsidRDefault="001E7B45" w:rsidP="00F273F0">
      <w:pPr>
        <w:spacing w:after="0" w:line="240" w:lineRule="auto"/>
      </w:pPr>
      <w:r>
        <w:separator/>
      </w:r>
    </w:p>
  </w:footnote>
  <w:footnote w:type="continuationSeparator" w:id="0">
    <w:p w14:paraId="6940CC3F" w14:textId="77777777" w:rsidR="001E7B45" w:rsidRDefault="001E7B45" w:rsidP="00F2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493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D47BA4" w14:textId="5CA27F69" w:rsidR="00E27905" w:rsidRPr="00E27905" w:rsidRDefault="00E2790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79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79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9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0B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279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0889896" w14:textId="77777777" w:rsidR="00E27905" w:rsidRDefault="00E2790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0CF6"/>
    <w:multiLevelType w:val="hybridMultilevel"/>
    <w:tmpl w:val="3E9E80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A34C60"/>
    <w:multiLevelType w:val="hybridMultilevel"/>
    <w:tmpl w:val="6A6880A4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0"/>
    <w:rsid w:val="000615D5"/>
    <w:rsid w:val="0007439C"/>
    <w:rsid w:val="00140E09"/>
    <w:rsid w:val="001837F0"/>
    <w:rsid w:val="00183B12"/>
    <w:rsid w:val="001D3D3F"/>
    <w:rsid w:val="001E7B45"/>
    <w:rsid w:val="00211FC5"/>
    <w:rsid w:val="00231806"/>
    <w:rsid w:val="00272FE6"/>
    <w:rsid w:val="0028085A"/>
    <w:rsid w:val="00323399"/>
    <w:rsid w:val="0043007F"/>
    <w:rsid w:val="004F764C"/>
    <w:rsid w:val="005439DE"/>
    <w:rsid w:val="00574B65"/>
    <w:rsid w:val="00581051"/>
    <w:rsid w:val="00606F66"/>
    <w:rsid w:val="0074552E"/>
    <w:rsid w:val="007560BF"/>
    <w:rsid w:val="007C7DF9"/>
    <w:rsid w:val="00871233"/>
    <w:rsid w:val="009130C4"/>
    <w:rsid w:val="00A303A3"/>
    <w:rsid w:val="00A53386"/>
    <w:rsid w:val="00A556DC"/>
    <w:rsid w:val="00A5703A"/>
    <w:rsid w:val="00A62099"/>
    <w:rsid w:val="00A82623"/>
    <w:rsid w:val="00A95861"/>
    <w:rsid w:val="00AF0FBA"/>
    <w:rsid w:val="00AF3FB2"/>
    <w:rsid w:val="00BC432A"/>
    <w:rsid w:val="00C47970"/>
    <w:rsid w:val="00C9441A"/>
    <w:rsid w:val="00CB7B64"/>
    <w:rsid w:val="00CD6641"/>
    <w:rsid w:val="00D14B0D"/>
    <w:rsid w:val="00D61573"/>
    <w:rsid w:val="00D913B3"/>
    <w:rsid w:val="00DC35A5"/>
    <w:rsid w:val="00DF52E3"/>
    <w:rsid w:val="00E17899"/>
    <w:rsid w:val="00E27905"/>
    <w:rsid w:val="00E37AED"/>
    <w:rsid w:val="00EC1030"/>
    <w:rsid w:val="00EF4584"/>
    <w:rsid w:val="00F273F0"/>
    <w:rsid w:val="00F33F84"/>
    <w:rsid w:val="00F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44BB"/>
  <w15:chartTrackingRefBased/>
  <w15:docId w15:val="{F0EB090F-D0E3-4687-A8D9-6B13C61E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ітка таблиці 1 (світла) – акцент 11"/>
    <w:basedOn w:val="a1"/>
    <w:next w:val="11"/>
    <w:uiPriority w:val="46"/>
    <w:rsid w:val="00272FE6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1"/>
    <w:uiPriority w:val="46"/>
    <w:rsid w:val="00272F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footnote reference"/>
    <w:basedOn w:val="a0"/>
    <w:uiPriority w:val="99"/>
    <w:semiHidden/>
    <w:unhideWhenUsed/>
    <w:rsid w:val="00F273F0"/>
    <w:rPr>
      <w:vertAlign w:val="superscript"/>
    </w:rPr>
  </w:style>
  <w:style w:type="table" w:styleId="a4">
    <w:name w:val="Table Grid"/>
    <w:basedOn w:val="a1"/>
    <w:uiPriority w:val="39"/>
    <w:rsid w:val="0032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33F8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303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03A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303A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3A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303A3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A303A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3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303A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279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E27905"/>
  </w:style>
  <w:style w:type="paragraph" w:styleId="af0">
    <w:name w:val="footer"/>
    <w:basedOn w:val="a"/>
    <w:link w:val="af1"/>
    <w:uiPriority w:val="99"/>
    <w:unhideWhenUsed/>
    <w:rsid w:val="00E279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weforum.org/docs/GCR2018/05FullReport/TheGlobalCompetitivenessReport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ationalpropertyrightsindex.org/full-re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3.weforum.org/docs/WEF_TheGlobalCompetitivenessReport2019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9062</Words>
  <Characters>5166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Dvigun O.V.</dc:creator>
  <cp:keywords/>
  <dc:description/>
  <cp:lastModifiedBy>Melnyk M.</cp:lastModifiedBy>
  <cp:revision>2</cp:revision>
  <cp:lastPrinted>2019-11-25T08:48:00Z</cp:lastPrinted>
  <dcterms:created xsi:type="dcterms:W3CDTF">2019-12-03T13:24:00Z</dcterms:created>
  <dcterms:modified xsi:type="dcterms:W3CDTF">2019-12-03T13:24:00Z</dcterms:modified>
</cp:coreProperties>
</file>